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01AF" w14:textId="4C90ABEE" w:rsidR="00A063F7" w:rsidRPr="00A063F7" w:rsidRDefault="00A063F7" w:rsidP="0029528E">
      <w:pPr>
        <w:pStyle w:val="Titolo4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20C991E4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3BC7B0D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32AA043A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AE84" w14:textId="3EAF8E86" w:rsidR="00D37DE7" w:rsidRPr="00327135" w:rsidRDefault="00443067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AREA SEDI PERIFERICHE</w:t>
            </w:r>
          </w:p>
        </w:tc>
      </w:tr>
      <w:tr w:rsidR="00AA7540" w:rsidRPr="00327135" w14:paraId="6A10236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EBBA" w14:textId="03F7465F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 xml:space="preserve">Dott. </w:t>
            </w:r>
            <w:r w:rsidR="008354A6">
              <w:rPr>
                <w:rFonts w:ascii="Calibri" w:hAnsi="Calibri"/>
                <w:b/>
              </w:rPr>
              <w:t>Alessandro Guerri</w:t>
            </w:r>
          </w:p>
        </w:tc>
      </w:tr>
      <w:tr w:rsidR="00AA7540" w:rsidRPr="00327135" w14:paraId="14430A3F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77BB" w14:textId="5D44DFFA" w:rsidR="00636D6A" w:rsidRPr="00EC0DAC" w:rsidRDefault="00C16FA0" w:rsidP="00C16FA0">
            <w:r>
              <w:rPr>
                <w:rFonts w:ascii="Calibri" w:hAnsi="Calibri" w:cs="NewAster"/>
                <w:b/>
                <w:bCs/>
                <w:i/>
                <w:iCs/>
              </w:rPr>
              <w:t>4_</w:t>
            </w:r>
            <w:r w:rsidR="008524D8" w:rsidRPr="00C16FA0"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CC4A06" w:rsidRPr="00C16FA0">
              <w:rPr>
                <w:rFonts w:ascii="Calibri" w:hAnsi="Calibri" w:cs="NewAster"/>
                <w:b/>
                <w:bCs/>
                <w:i/>
                <w:iCs/>
              </w:rPr>
              <w:t>OBIETTIVO:</w:t>
            </w:r>
            <w:r w:rsidR="004B6B18" w:rsidRPr="00C16FA0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  <w:r w:rsidR="005053CD" w:rsidRPr="005053CD">
              <w:t>Porto di Vibo: assegnazione della progettazione della riqualificazione delle aree di interazione porto-città</w:t>
            </w:r>
            <w:r w:rsidR="00636D6A" w:rsidRPr="00EC0DAC">
              <w:t>.</w:t>
            </w:r>
          </w:p>
          <w:p w14:paraId="082BD2CF" w14:textId="291635F9" w:rsidR="00AA7540" w:rsidRPr="00327135" w:rsidRDefault="00AA7540" w:rsidP="0097217B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</w:p>
        </w:tc>
      </w:tr>
      <w:tr w:rsidR="00AA7540" w:rsidRPr="00327135" w14:paraId="3346159C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75" w14:textId="17E6ECFD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5053CD">
              <w:rPr>
                <w:rFonts w:ascii="Calibri" w:hAnsi="Calibri" w:cs="NewAster"/>
                <w:i/>
                <w:iCs/>
              </w:rPr>
              <w:t>4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6AA" w14:textId="339FEEF8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D04F75">
              <w:rPr>
                <w:rFonts w:ascii="Calibri" w:hAnsi="Calibri"/>
                <w:sz w:val="28"/>
              </w:rPr>
              <w:t>2</w:t>
            </w:r>
            <w:r w:rsidR="002E3F74">
              <w:rPr>
                <w:rFonts w:ascii="Calibri" w:hAnsi="Calibri"/>
                <w:sz w:val="28"/>
              </w:rPr>
              <w:t>0</w:t>
            </w:r>
          </w:p>
        </w:tc>
      </w:tr>
      <w:tr w:rsidR="00AA7540" w:rsidRPr="00327135" w14:paraId="00D7B480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2B7D0F3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E3B136E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25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6733B091" w14:textId="13235474" w:rsidR="00A64154" w:rsidRPr="00A64154" w:rsidRDefault="0029180E" w:rsidP="00A641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Prevedere una nuova configurazione degli spazi retrostanti la banchina Fiume del porto di Vibo. Tale area, di circa </w:t>
            </w:r>
            <w:r w:rsidR="002C31C1">
              <w:rPr>
                <w:rFonts w:asciiTheme="minorHAnsi" w:hAnsiTheme="minorHAnsi" w:cstheme="minorHAnsi"/>
              </w:rPr>
              <w:t>5.000 m</w:t>
            </w:r>
            <w:r w:rsidR="002C31C1">
              <w:rPr>
                <w:rFonts w:asciiTheme="minorHAnsi" w:hAnsiTheme="minorHAnsi" w:cstheme="minorHAnsi"/>
                <w:vertAlign w:val="superscript"/>
              </w:rPr>
              <w:t>2</w:t>
            </w:r>
            <w:r w:rsidR="00303396">
              <w:rPr>
                <w:rFonts w:asciiTheme="minorHAnsi" w:hAnsiTheme="minorHAnsi" w:cstheme="minorHAnsi"/>
              </w:rPr>
              <w:t>, cinge il porto con la città.</w:t>
            </w:r>
          </w:p>
          <w:p w14:paraId="4509A63C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53D4ED6C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B652F50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0879FEA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2E83" w14:textId="2CE01E99" w:rsidR="008524D8" w:rsidRPr="00D10D1E" w:rsidRDefault="00303396" w:rsidP="008524D8">
            <w:pPr>
              <w:pStyle w:val="Corpodeltesto2"/>
              <w:spacing w:before="20"/>
              <w:ind w:firstLine="0"/>
              <w:rPr>
                <w:rFonts w:ascii="Calibri" w:hAnsi="Calibri" w:cs="NewAster"/>
              </w:rPr>
            </w:pPr>
            <w:r w:rsidRPr="00D10D1E">
              <w:rPr>
                <w:rFonts w:ascii="Calibri" w:hAnsi="Calibri" w:cs="NewAster"/>
              </w:rPr>
              <w:t xml:space="preserve">Garantire </w:t>
            </w:r>
            <w:r w:rsidR="003B46C1" w:rsidRPr="00D10D1E">
              <w:rPr>
                <w:rFonts w:ascii="Calibri" w:hAnsi="Calibri" w:cs="NewAster"/>
              </w:rPr>
              <w:t xml:space="preserve">una coesione armonica tra l’area portuale ed il contesto urbano per favorire maggiore accessibilità </w:t>
            </w:r>
            <w:r w:rsidR="005B1018" w:rsidRPr="00D10D1E">
              <w:rPr>
                <w:rFonts w:ascii="Calibri" w:hAnsi="Calibri" w:cs="NewAster"/>
              </w:rPr>
              <w:t>turistica</w:t>
            </w:r>
            <w:r w:rsidR="003B46C1" w:rsidRPr="00D10D1E">
              <w:rPr>
                <w:rFonts w:ascii="Calibri" w:hAnsi="Calibri" w:cs="NewAster"/>
              </w:rPr>
              <w:t xml:space="preserve">, in particolare </w:t>
            </w:r>
            <w:r w:rsidR="005B1018" w:rsidRPr="00D10D1E">
              <w:rPr>
                <w:rFonts w:ascii="Calibri" w:hAnsi="Calibri" w:cs="NewAster"/>
              </w:rPr>
              <w:t>da e per i mezzi navali che offrono il servizio di collegamento con le isole Eolie.</w:t>
            </w:r>
          </w:p>
          <w:p w14:paraId="1DF62F1C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FA9F734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B2ABFA1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2066C77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B7BD71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8F665BE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2A4BA96A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CD1" w14:textId="77777777" w:rsidR="0097217B" w:rsidRPr="00327135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9A0B" w14:textId="2DF5DC0C" w:rsidR="00D10D1E" w:rsidRPr="00FA6706" w:rsidRDefault="00D10D1E" w:rsidP="00D10D1E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 w:rsidRPr="00FA6706">
              <w:rPr>
                <w:rFonts w:ascii="Calibri" w:hAnsi="Calibri" w:cs="NewAster"/>
                <w:i/>
                <w:iCs/>
              </w:rPr>
              <w:t>Sopralluoghi con l’Amm.ne comunale per concordare le linee di intervento</w:t>
            </w:r>
            <w:r w:rsidR="00E4749D">
              <w:rPr>
                <w:rFonts w:ascii="Calibri" w:hAnsi="Calibri" w:cs="NewAster"/>
                <w:i/>
                <w:iCs/>
              </w:rPr>
              <w:t xml:space="preserve"> (febbraio 2023)</w:t>
            </w:r>
            <w:r w:rsidRPr="00FA6706">
              <w:rPr>
                <w:rFonts w:ascii="Calibri" w:hAnsi="Calibri" w:cs="NewAster"/>
                <w:i/>
                <w:iCs/>
              </w:rPr>
              <w:t>;</w:t>
            </w:r>
          </w:p>
          <w:p w14:paraId="15E17985" w14:textId="02AFE7F0" w:rsidR="00FA6706" w:rsidRDefault="00FA6706" w:rsidP="00D10D1E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Interlocuzioni con la Capitaneria di porto</w:t>
            </w:r>
            <w:r w:rsidR="00E4749D">
              <w:rPr>
                <w:rFonts w:ascii="Calibri" w:hAnsi="Calibri" w:cs="NewAster"/>
                <w:i/>
                <w:iCs/>
              </w:rPr>
              <w:t xml:space="preserve"> (marzo 2023)</w:t>
            </w:r>
            <w:r>
              <w:rPr>
                <w:rFonts w:ascii="Calibri" w:hAnsi="Calibri" w:cs="NewAster"/>
                <w:i/>
                <w:iCs/>
              </w:rPr>
              <w:t>;</w:t>
            </w:r>
          </w:p>
          <w:p w14:paraId="29BB5DDF" w14:textId="693EA77B" w:rsidR="00C0708E" w:rsidRDefault="00C0708E" w:rsidP="00D10D1E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Nomina RUP (</w:t>
            </w:r>
            <w:r w:rsidR="0058119F">
              <w:rPr>
                <w:rFonts w:asciiTheme="minorHAnsi" w:hAnsiTheme="minorHAnsi" w:cstheme="minorHAnsi"/>
              </w:rPr>
              <w:t>decreto 82/2023 del 04.05.2023</w:t>
            </w:r>
            <w:r>
              <w:rPr>
                <w:rFonts w:ascii="Calibri" w:hAnsi="Calibri" w:cs="NewAster"/>
                <w:i/>
                <w:iCs/>
              </w:rPr>
              <w:t>)</w:t>
            </w:r>
          </w:p>
          <w:p w14:paraId="7A32E5CB" w14:textId="6D394A88" w:rsidR="00FA6706" w:rsidRDefault="00E4749D" w:rsidP="00D10D1E">
            <w:pPr>
              <w:pStyle w:val="Corpodeltesto2"/>
              <w:numPr>
                <w:ilvl w:val="0"/>
                <w:numId w:val="2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Affidamento della progettazione </w:t>
            </w:r>
            <w:r w:rsidR="00C0708E">
              <w:rPr>
                <w:rFonts w:ascii="Calibri" w:hAnsi="Calibri" w:cs="NewAster"/>
                <w:i/>
                <w:iCs/>
              </w:rPr>
              <w:t>(decreto 112/2023 del 28.06.2023)</w:t>
            </w:r>
            <w:r>
              <w:rPr>
                <w:rFonts w:ascii="Calibri" w:hAnsi="Calibri" w:cs="NewAster"/>
                <w:i/>
                <w:iCs/>
              </w:rPr>
              <w:t>;</w:t>
            </w:r>
          </w:p>
          <w:p w14:paraId="0D92D6E0" w14:textId="523CEC61" w:rsidR="0097217B" w:rsidRPr="002E3F74" w:rsidRDefault="0097217B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04A6" w14:textId="127AE103" w:rsidR="0097217B" w:rsidRPr="00DF3CB4" w:rsidRDefault="00D04F75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DF3CB4">
              <w:rPr>
                <w:rFonts w:ascii="Calibri" w:hAnsi="Calibri" w:cs="NewAster"/>
                <w:i/>
                <w:iCs/>
              </w:rPr>
              <w:t>2</w:t>
            </w:r>
            <w:r w:rsidR="00F25FD8" w:rsidRPr="00DF3CB4">
              <w:rPr>
                <w:rFonts w:ascii="Calibri" w:hAnsi="Calibri" w:cs="NewAster"/>
                <w:i/>
                <w:iCs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3C4" w14:textId="1F8408B8" w:rsidR="0097217B" w:rsidRPr="00DF3CB4" w:rsidRDefault="00C147D0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DF3CB4">
              <w:rPr>
                <w:rFonts w:ascii="Calibri" w:hAnsi="Calibri" w:cs="NewAster"/>
                <w:i/>
                <w:iCs/>
              </w:rPr>
              <w:t>31/1</w:t>
            </w:r>
            <w:r w:rsidR="009D31E1" w:rsidRPr="00DF3CB4">
              <w:rPr>
                <w:rFonts w:ascii="Calibri" w:hAnsi="Calibri" w:cs="NewAster"/>
                <w:i/>
                <w:iCs/>
              </w:rPr>
              <w:t>2</w:t>
            </w:r>
            <w:r w:rsidRPr="00DF3CB4">
              <w:rPr>
                <w:rFonts w:ascii="Calibri" w:hAnsi="Calibri" w:cs="NewAster"/>
                <w:i/>
                <w:iCs/>
              </w:rPr>
              <w:t>/202</w:t>
            </w:r>
            <w:r w:rsidR="009D31E1" w:rsidRPr="00DF3CB4">
              <w:rPr>
                <w:rFonts w:ascii="Calibri" w:hAnsi="Calibri" w:cs="NewAster"/>
                <w:i/>
                <w:iCs/>
              </w:rPr>
              <w:t>3</w:t>
            </w:r>
          </w:p>
        </w:tc>
      </w:tr>
      <w:tr w:rsidR="00AA7540" w:rsidRPr="00327135" w14:paraId="7C12224F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4A38B204" w14:textId="77777777" w:rsidR="00AA7540" w:rsidRPr="008524D8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8524D8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8524D8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71ADFA72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B2F40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0A282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4385" w14:textId="77777777" w:rsidR="00052F71" w:rsidRPr="00327135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327135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2D8B" w14:textId="77777777" w:rsidR="00052F71" w:rsidRPr="00327135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DF3CB4" w14:paraId="1D33941F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629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85B" w14:textId="4097107A" w:rsidR="00052F71" w:rsidRPr="00DF3CB4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DF3CB4">
              <w:rPr>
                <w:rFonts w:ascii="Calibri" w:hAnsi="Calibri" w:cs="NewAster"/>
                <w:i/>
                <w:iCs/>
              </w:rPr>
              <w:t>Controllo e relazione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D25" w14:textId="3E575470" w:rsidR="00052F71" w:rsidRPr="00DF3CB4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DF3CB4"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63A" w14:textId="2CA387E4" w:rsidR="00052F71" w:rsidRPr="00DF3CB4" w:rsidRDefault="009D31E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DF3CB4">
              <w:rPr>
                <w:rFonts w:ascii="Calibri" w:hAnsi="Calibri" w:cs="NewAster"/>
                <w:i/>
                <w:iCs/>
              </w:rPr>
              <w:t>100 % al 31/12/2023</w:t>
            </w:r>
          </w:p>
        </w:tc>
      </w:tr>
      <w:tr w:rsidR="00AA7540" w:rsidRPr="00327135" w14:paraId="0B03C446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EC1C733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0FE5ED1E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59E" w14:textId="77777777" w:rsidR="008524D8" w:rsidRDefault="008524D8" w:rsidP="0029528E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02C64CA7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097A" w14:textId="77777777" w:rsidR="00F84A9F" w:rsidRDefault="00F84A9F" w:rsidP="00AA7540">
      <w:r>
        <w:separator/>
      </w:r>
    </w:p>
  </w:endnote>
  <w:endnote w:type="continuationSeparator" w:id="0">
    <w:p w14:paraId="7C8B4D14" w14:textId="77777777" w:rsidR="00F84A9F" w:rsidRDefault="00F84A9F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95A43" w14:textId="77777777" w:rsidR="00F84A9F" w:rsidRDefault="00F84A9F" w:rsidP="00AA7540">
      <w:r>
        <w:separator/>
      </w:r>
    </w:p>
  </w:footnote>
  <w:footnote w:type="continuationSeparator" w:id="0">
    <w:p w14:paraId="75F7887C" w14:textId="77777777" w:rsidR="00F84A9F" w:rsidRDefault="00F84A9F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1226EA7F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39D01B5" w14:textId="7BCA926E" w:rsidR="00AA7540" w:rsidRDefault="008354A6" w:rsidP="004B6B18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5738B3" w14:textId="77777777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260C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9FEB7D7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34992"/>
    <w:multiLevelType w:val="hybridMultilevel"/>
    <w:tmpl w:val="CB7E218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C32C88"/>
    <w:multiLevelType w:val="hybridMultilevel"/>
    <w:tmpl w:val="F5BA8866"/>
    <w:lvl w:ilvl="0" w:tplc="7D2ECB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77823">
    <w:abstractNumId w:val="0"/>
  </w:num>
  <w:num w:numId="2" w16cid:durableId="332530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260C6"/>
    <w:rsid w:val="00052F71"/>
    <w:rsid w:val="0009273F"/>
    <w:rsid w:val="000A2D28"/>
    <w:rsid w:val="000F685F"/>
    <w:rsid w:val="0010336D"/>
    <w:rsid w:val="00132A63"/>
    <w:rsid w:val="001C42A0"/>
    <w:rsid w:val="001E43BE"/>
    <w:rsid w:val="0020030C"/>
    <w:rsid w:val="00261488"/>
    <w:rsid w:val="0029180E"/>
    <w:rsid w:val="0029528E"/>
    <w:rsid w:val="002A5019"/>
    <w:rsid w:val="002B1839"/>
    <w:rsid w:val="002C31C1"/>
    <w:rsid w:val="002E3F74"/>
    <w:rsid w:val="003024FF"/>
    <w:rsid w:val="00303396"/>
    <w:rsid w:val="003B46C1"/>
    <w:rsid w:val="003D4CC6"/>
    <w:rsid w:val="00410CFE"/>
    <w:rsid w:val="00430294"/>
    <w:rsid w:val="00443067"/>
    <w:rsid w:val="004B6B18"/>
    <w:rsid w:val="004D3930"/>
    <w:rsid w:val="004F1D8C"/>
    <w:rsid w:val="004F569B"/>
    <w:rsid w:val="005053CD"/>
    <w:rsid w:val="00510FC7"/>
    <w:rsid w:val="00576D19"/>
    <w:rsid w:val="0058119F"/>
    <w:rsid w:val="005B1018"/>
    <w:rsid w:val="00605BB8"/>
    <w:rsid w:val="00636D6A"/>
    <w:rsid w:val="006551F8"/>
    <w:rsid w:val="00657306"/>
    <w:rsid w:val="00682281"/>
    <w:rsid w:val="006B447D"/>
    <w:rsid w:val="006C4C4E"/>
    <w:rsid w:val="00715A02"/>
    <w:rsid w:val="007D297B"/>
    <w:rsid w:val="007D4E6F"/>
    <w:rsid w:val="007F1676"/>
    <w:rsid w:val="008354A6"/>
    <w:rsid w:val="008520A3"/>
    <w:rsid w:val="008524D8"/>
    <w:rsid w:val="008541C4"/>
    <w:rsid w:val="00876606"/>
    <w:rsid w:val="008F01B6"/>
    <w:rsid w:val="00901C41"/>
    <w:rsid w:val="00955C61"/>
    <w:rsid w:val="0097217B"/>
    <w:rsid w:val="009D31E1"/>
    <w:rsid w:val="00A063F7"/>
    <w:rsid w:val="00A331C4"/>
    <w:rsid w:val="00A64154"/>
    <w:rsid w:val="00A82DBB"/>
    <w:rsid w:val="00AA7540"/>
    <w:rsid w:val="00B835A7"/>
    <w:rsid w:val="00BB7B8A"/>
    <w:rsid w:val="00C0708E"/>
    <w:rsid w:val="00C147D0"/>
    <w:rsid w:val="00C16FA0"/>
    <w:rsid w:val="00C25F4A"/>
    <w:rsid w:val="00C91A8B"/>
    <w:rsid w:val="00C93EE0"/>
    <w:rsid w:val="00CC4A06"/>
    <w:rsid w:val="00D04F75"/>
    <w:rsid w:val="00D10D1E"/>
    <w:rsid w:val="00D37DE7"/>
    <w:rsid w:val="00D76E28"/>
    <w:rsid w:val="00D77914"/>
    <w:rsid w:val="00DE7289"/>
    <w:rsid w:val="00DF3CB4"/>
    <w:rsid w:val="00E4749D"/>
    <w:rsid w:val="00E61134"/>
    <w:rsid w:val="00F25FD8"/>
    <w:rsid w:val="00F4641B"/>
    <w:rsid w:val="00F4762B"/>
    <w:rsid w:val="00F84A9F"/>
    <w:rsid w:val="00FA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1D6B"/>
  <w15:docId w15:val="{8EFF1D26-DD1A-43C5-8221-D74CE723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6D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861E0"/>
    <w:rsid w:val="001876F5"/>
    <w:rsid w:val="00360FFE"/>
    <w:rsid w:val="004030B0"/>
    <w:rsid w:val="0051741F"/>
    <w:rsid w:val="005F0432"/>
    <w:rsid w:val="006A2D1F"/>
    <w:rsid w:val="00712794"/>
    <w:rsid w:val="007D65A8"/>
    <w:rsid w:val="0088671F"/>
    <w:rsid w:val="00AD691F"/>
    <w:rsid w:val="00C75962"/>
    <w:rsid w:val="00D019B3"/>
    <w:rsid w:val="00EF153B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69312C-2E66-44BC-92FD-73C393B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2023-10-11T13:10:00Z</dcterms:created>
  <dcterms:modified xsi:type="dcterms:W3CDTF">2023-10-11T13:10:00Z</dcterms:modified>
</cp:coreProperties>
</file>